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86C5" w14:textId="77777777" w:rsidR="00613CF5" w:rsidRDefault="0057762F" w:rsidP="0057762F">
      <w:pPr>
        <w:spacing w:after="0" w:line="240" w:lineRule="auto"/>
        <w:rPr>
          <w:rFonts w:ascii="Century Gothic" w:hAnsi="Century Gothic"/>
          <w:b/>
          <w:bCs/>
          <w:color w:val="7C0EDD"/>
          <w:sz w:val="24"/>
          <w:szCs w:val="24"/>
        </w:rPr>
      </w:pPr>
      <w:r w:rsidRPr="0057762F">
        <w:rPr>
          <w:rFonts w:ascii="Century Gothic" w:hAnsi="Century Gothic"/>
          <w:b/>
          <w:bCs/>
          <w:color w:val="7C0EDD"/>
          <w:sz w:val="24"/>
          <w:szCs w:val="24"/>
        </w:rPr>
        <w:t>Voice and influence</w:t>
      </w:r>
      <w:r w:rsidR="00613CF5">
        <w:rPr>
          <w:rFonts w:ascii="Century Gothic" w:hAnsi="Century Gothic"/>
          <w:b/>
          <w:bCs/>
          <w:color w:val="7C0EDD"/>
          <w:sz w:val="24"/>
          <w:szCs w:val="24"/>
        </w:rPr>
        <w:t xml:space="preserve"> of young people with SEND </w:t>
      </w:r>
    </w:p>
    <w:p w14:paraId="336602C6" w14:textId="5F2D6B25" w:rsidR="0057762F" w:rsidRPr="0057762F" w:rsidRDefault="00613CF5" w:rsidP="0057762F">
      <w:pPr>
        <w:spacing w:after="0" w:line="240" w:lineRule="auto"/>
        <w:rPr>
          <w:rFonts w:ascii="Century Gothic" w:hAnsi="Century Gothic"/>
          <w:b/>
          <w:bCs/>
          <w:color w:val="7C0EDD"/>
          <w:sz w:val="24"/>
          <w:szCs w:val="24"/>
        </w:rPr>
      </w:pPr>
      <w:r>
        <w:rPr>
          <w:rFonts w:ascii="Century Gothic" w:hAnsi="Century Gothic"/>
          <w:b/>
          <w:bCs/>
          <w:color w:val="7C0EDD"/>
          <w:sz w:val="24"/>
          <w:szCs w:val="24"/>
        </w:rPr>
        <w:t xml:space="preserve">Offer </w:t>
      </w:r>
      <w:r w:rsidR="0057762F" w:rsidRPr="0057762F">
        <w:rPr>
          <w:rFonts w:ascii="Century Gothic" w:hAnsi="Century Gothic"/>
          <w:b/>
          <w:bCs/>
          <w:color w:val="7C0EDD"/>
          <w:sz w:val="24"/>
          <w:szCs w:val="24"/>
        </w:rPr>
        <w:t xml:space="preserve">to </w:t>
      </w:r>
      <w:r>
        <w:rPr>
          <w:rFonts w:ascii="Century Gothic" w:hAnsi="Century Gothic"/>
          <w:b/>
          <w:bCs/>
          <w:color w:val="7C0EDD"/>
          <w:sz w:val="24"/>
          <w:szCs w:val="24"/>
        </w:rPr>
        <w:t>schools</w:t>
      </w:r>
    </w:p>
    <w:p w14:paraId="6052389B" w14:textId="77777777" w:rsidR="0057762F" w:rsidRDefault="0057762F" w:rsidP="0057762F">
      <w:pPr>
        <w:spacing w:after="0" w:line="240" w:lineRule="auto"/>
        <w:rPr>
          <w:rFonts w:ascii="Century Gothic" w:hAnsi="Century Gothic"/>
          <w:color w:val="0000FF"/>
          <w:sz w:val="24"/>
          <w:szCs w:val="24"/>
        </w:rPr>
      </w:pPr>
    </w:p>
    <w:tbl>
      <w:tblPr>
        <w:tblStyle w:val="TableGrid"/>
        <w:tblW w:w="15021" w:type="dxa"/>
        <w:tblLook w:val="04A0" w:firstRow="1" w:lastRow="0" w:firstColumn="1" w:lastColumn="0" w:noHBand="0" w:noVBand="1"/>
      </w:tblPr>
      <w:tblGrid>
        <w:gridCol w:w="1980"/>
        <w:gridCol w:w="5670"/>
        <w:gridCol w:w="2977"/>
        <w:gridCol w:w="4394"/>
      </w:tblGrid>
      <w:tr w:rsidR="0057762F" w14:paraId="647B66BF" w14:textId="77777777" w:rsidTr="0057762F">
        <w:tc>
          <w:tcPr>
            <w:tcW w:w="1980" w:type="dxa"/>
            <w:shd w:val="clear" w:color="auto" w:fill="F9EC31"/>
          </w:tcPr>
          <w:p w14:paraId="6EC75E72" w14:textId="77777777" w:rsidR="0057762F" w:rsidRPr="00F0371F" w:rsidRDefault="0057762F" w:rsidP="00AC4B14">
            <w:pPr>
              <w:rPr>
                <w:rFonts w:cstheme="minorHAnsi"/>
                <w:b/>
                <w:bCs/>
                <w:sz w:val="24"/>
                <w:szCs w:val="24"/>
              </w:rPr>
            </w:pPr>
            <w:r w:rsidRPr="00F0371F">
              <w:rPr>
                <w:rFonts w:cstheme="minorHAnsi"/>
                <w:b/>
                <w:bCs/>
                <w:sz w:val="24"/>
                <w:szCs w:val="24"/>
              </w:rPr>
              <w:t>Opportunity</w:t>
            </w:r>
          </w:p>
        </w:tc>
        <w:tc>
          <w:tcPr>
            <w:tcW w:w="5670" w:type="dxa"/>
            <w:shd w:val="clear" w:color="auto" w:fill="F9EC31"/>
          </w:tcPr>
          <w:p w14:paraId="717F3E50" w14:textId="77777777" w:rsidR="0057762F" w:rsidRPr="00F0371F" w:rsidRDefault="0057762F" w:rsidP="00AC4B14">
            <w:pPr>
              <w:rPr>
                <w:b/>
                <w:bCs/>
                <w:sz w:val="24"/>
                <w:szCs w:val="24"/>
              </w:rPr>
            </w:pPr>
            <w:r w:rsidRPr="00F0371F">
              <w:rPr>
                <w:b/>
                <w:bCs/>
                <w:sz w:val="24"/>
                <w:szCs w:val="24"/>
              </w:rPr>
              <w:t xml:space="preserve">What is involved </w:t>
            </w:r>
          </w:p>
        </w:tc>
        <w:tc>
          <w:tcPr>
            <w:tcW w:w="2977" w:type="dxa"/>
            <w:shd w:val="clear" w:color="auto" w:fill="F9EC31"/>
          </w:tcPr>
          <w:p w14:paraId="3986697D" w14:textId="77777777" w:rsidR="0057762F" w:rsidRPr="00F0371F" w:rsidRDefault="0057762F" w:rsidP="00AC4B14">
            <w:pPr>
              <w:rPr>
                <w:rFonts w:cstheme="minorHAnsi"/>
                <w:b/>
                <w:bCs/>
                <w:sz w:val="24"/>
                <w:szCs w:val="24"/>
              </w:rPr>
            </w:pPr>
            <w:r>
              <w:rPr>
                <w:rFonts w:cstheme="minorHAnsi"/>
                <w:b/>
                <w:bCs/>
                <w:sz w:val="24"/>
                <w:szCs w:val="24"/>
              </w:rPr>
              <w:t>When it takes place</w:t>
            </w:r>
          </w:p>
        </w:tc>
        <w:tc>
          <w:tcPr>
            <w:tcW w:w="4394" w:type="dxa"/>
            <w:shd w:val="clear" w:color="auto" w:fill="F9EC31"/>
          </w:tcPr>
          <w:p w14:paraId="7489C5EF" w14:textId="77777777" w:rsidR="0057762F" w:rsidRPr="00F0371F" w:rsidRDefault="0057762F" w:rsidP="00AC4B14">
            <w:pPr>
              <w:rPr>
                <w:rFonts w:cstheme="minorHAnsi"/>
                <w:b/>
                <w:bCs/>
                <w:sz w:val="24"/>
                <w:szCs w:val="24"/>
              </w:rPr>
            </w:pPr>
            <w:r w:rsidRPr="00F0371F">
              <w:rPr>
                <w:rFonts w:cstheme="minorHAnsi"/>
                <w:b/>
                <w:bCs/>
                <w:sz w:val="24"/>
                <w:szCs w:val="24"/>
              </w:rPr>
              <w:t>How to get involved</w:t>
            </w:r>
          </w:p>
        </w:tc>
      </w:tr>
      <w:tr w:rsidR="0057762F" w14:paraId="3A24D445" w14:textId="77777777" w:rsidTr="0057762F">
        <w:tc>
          <w:tcPr>
            <w:tcW w:w="1980" w:type="dxa"/>
          </w:tcPr>
          <w:p w14:paraId="0BD81DE1" w14:textId="77777777" w:rsidR="0057762F" w:rsidRDefault="0057762F" w:rsidP="0057762F">
            <w:pPr>
              <w:jc w:val="center"/>
              <w:rPr>
                <w:rFonts w:cstheme="minorHAnsi"/>
                <w:sz w:val="24"/>
                <w:szCs w:val="24"/>
              </w:rPr>
            </w:pPr>
            <w:r w:rsidRPr="00F0371F">
              <w:rPr>
                <w:rFonts w:cstheme="minorHAnsi"/>
                <w:sz w:val="24"/>
                <w:szCs w:val="24"/>
              </w:rPr>
              <w:t xml:space="preserve">Leeds SEND </w:t>
            </w:r>
          </w:p>
          <w:p w14:paraId="58290AF4" w14:textId="479A771B" w:rsidR="0057762F" w:rsidRDefault="0057762F" w:rsidP="0057762F">
            <w:pPr>
              <w:jc w:val="center"/>
              <w:rPr>
                <w:rFonts w:cstheme="minorHAnsi"/>
                <w:sz w:val="24"/>
                <w:szCs w:val="24"/>
              </w:rPr>
            </w:pPr>
            <w:r w:rsidRPr="00F0371F">
              <w:rPr>
                <w:rFonts w:cstheme="minorHAnsi"/>
                <w:sz w:val="24"/>
                <w:szCs w:val="24"/>
              </w:rPr>
              <w:t>Youth Council</w:t>
            </w:r>
          </w:p>
          <w:p w14:paraId="3367E225" w14:textId="77777777" w:rsidR="0057762F" w:rsidRDefault="0057762F" w:rsidP="0057762F">
            <w:pPr>
              <w:jc w:val="center"/>
              <w:rPr>
                <w:rFonts w:cstheme="minorHAnsi"/>
                <w:sz w:val="24"/>
                <w:szCs w:val="24"/>
              </w:rPr>
            </w:pPr>
          </w:p>
          <w:p w14:paraId="6D219037" w14:textId="1F453235" w:rsidR="0057762F" w:rsidRPr="00F0371F" w:rsidRDefault="0057762F" w:rsidP="0057762F">
            <w:pPr>
              <w:jc w:val="center"/>
              <w:rPr>
                <w:rFonts w:cstheme="minorHAnsi"/>
                <w:sz w:val="24"/>
                <w:szCs w:val="24"/>
              </w:rPr>
            </w:pPr>
            <w:r>
              <w:rPr>
                <w:noProof/>
              </w:rPr>
              <w:drawing>
                <wp:inline distT="0" distB="0" distL="0" distR="0" wp14:anchorId="330A7FB7" wp14:editId="20A3A6D8">
                  <wp:extent cx="657225" cy="52981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397" cy="534790"/>
                          </a:xfrm>
                          <a:prstGeom prst="rect">
                            <a:avLst/>
                          </a:prstGeom>
                          <a:noFill/>
                          <a:ln>
                            <a:noFill/>
                          </a:ln>
                        </pic:spPr>
                      </pic:pic>
                    </a:graphicData>
                  </a:graphic>
                </wp:inline>
              </w:drawing>
            </w:r>
          </w:p>
        </w:tc>
        <w:tc>
          <w:tcPr>
            <w:tcW w:w="5670" w:type="dxa"/>
          </w:tcPr>
          <w:p w14:paraId="3BA67E39" w14:textId="77777777" w:rsidR="0057762F" w:rsidRDefault="0057762F" w:rsidP="00AC4B14">
            <w:pPr>
              <w:rPr>
                <w:sz w:val="24"/>
                <w:szCs w:val="24"/>
              </w:rPr>
            </w:pPr>
            <w:r w:rsidRPr="00F0371F">
              <w:rPr>
                <w:bCs/>
                <w:color w:val="002060"/>
                <w:sz w:val="24"/>
                <w:szCs w:val="24"/>
              </w:rPr>
              <w:t xml:space="preserve">A </w:t>
            </w:r>
            <w:r w:rsidRPr="00F0371F">
              <w:rPr>
                <w:bCs/>
                <w:sz w:val="24"/>
                <w:szCs w:val="24"/>
              </w:rPr>
              <w:t>group of 15</w:t>
            </w:r>
            <w:r w:rsidRPr="00F0371F">
              <w:rPr>
                <w:sz w:val="24"/>
                <w:szCs w:val="24"/>
              </w:rPr>
              <w:t xml:space="preserve"> </w:t>
            </w:r>
            <w:r>
              <w:rPr>
                <w:sz w:val="24"/>
                <w:szCs w:val="24"/>
              </w:rPr>
              <w:t xml:space="preserve">young people aged 11 to 25 years old with special educational needs and disabilities. </w:t>
            </w:r>
          </w:p>
          <w:p w14:paraId="7D452E70" w14:textId="77777777" w:rsidR="0057762F" w:rsidRDefault="0057762F" w:rsidP="00AC4B14">
            <w:pPr>
              <w:rPr>
                <w:sz w:val="24"/>
                <w:szCs w:val="24"/>
              </w:rPr>
            </w:pPr>
          </w:p>
          <w:p w14:paraId="621387CE" w14:textId="77777777" w:rsidR="0057762F" w:rsidRDefault="0057762F" w:rsidP="00AC4B14">
            <w:pPr>
              <w:rPr>
                <w:sz w:val="24"/>
                <w:szCs w:val="24"/>
              </w:rPr>
            </w:pPr>
            <w:r>
              <w:rPr>
                <w:sz w:val="24"/>
                <w:szCs w:val="24"/>
              </w:rPr>
              <w:t xml:space="preserve">Members serve a </w:t>
            </w:r>
            <w:proofErr w:type="gramStart"/>
            <w:r>
              <w:rPr>
                <w:sz w:val="24"/>
                <w:szCs w:val="24"/>
              </w:rPr>
              <w:t>2 year</w:t>
            </w:r>
            <w:proofErr w:type="gramEnd"/>
            <w:r>
              <w:rPr>
                <w:sz w:val="24"/>
                <w:szCs w:val="24"/>
              </w:rPr>
              <w:t xml:space="preserve"> term. </w:t>
            </w:r>
          </w:p>
          <w:p w14:paraId="224DD343" w14:textId="77777777" w:rsidR="0057762F" w:rsidRDefault="0057762F" w:rsidP="00AC4B14">
            <w:pPr>
              <w:rPr>
                <w:sz w:val="24"/>
                <w:szCs w:val="24"/>
              </w:rPr>
            </w:pPr>
          </w:p>
          <w:p w14:paraId="1EAE7A9F" w14:textId="77777777" w:rsidR="0057762F" w:rsidRPr="00F0371F" w:rsidRDefault="0057762F" w:rsidP="00AC4B14">
            <w:pPr>
              <w:rPr>
                <w:sz w:val="24"/>
                <w:szCs w:val="24"/>
              </w:rPr>
            </w:pPr>
            <w:r>
              <w:rPr>
                <w:sz w:val="24"/>
                <w:szCs w:val="24"/>
              </w:rPr>
              <w:t xml:space="preserve">The group meet once a month either online or in person to work on their own campaigns and projects as well as share their views with services. </w:t>
            </w:r>
          </w:p>
        </w:tc>
        <w:tc>
          <w:tcPr>
            <w:tcW w:w="2977" w:type="dxa"/>
          </w:tcPr>
          <w:p w14:paraId="26A2F1F7" w14:textId="77777777" w:rsidR="0057762F" w:rsidRDefault="0057762F" w:rsidP="00AC4B14">
            <w:pPr>
              <w:rPr>
                <w:rFonts w:cstheme="minorHAnsi"/>
                <w:sz w:val="24"/>
                <w:szCs w:val="24"/>
              </w:rPr>
            </w:pPr>
            <w:r>
              <w:rPr>
                <w:rFonts w:cstheme="minorHAnsi"/>
                <w:sz w:val="24"/>
                <w:szCs w:val="24"/>
              </w:rPr>
              <w:t xml:space="preserve">Outside of education setting </w:t>
            </w:r>
          </w:p>
        </w:tc>
        <w:tc>
          <w:tcPr>
            <w:tcW w:w="4394" w:type="dxa"/>
          </w:tcPr>
          <w:p w14:paraId="54296027" w14:textId="77777777" w:rsidR="0057762F" w:rsidRDefault="0057762F" w:rsidP="00AC4B14">
            <w:pPr>
              <w:rPr>
                <w:rFonts w:cstheme="minorHAnsi"/>
                <w:sz w:val="24"/>
                <w:szCs w:val="24"/>
              </w:rPr>
            </w:pPr>
            <w:r>
              <w:rPr>
                <w:rFonts w:cstheme="minorHAnsi"/>
                <w:sz w:val="24"/>
                <w:szCs w:val="24"/>
              </w:rPr>
              <w:t xml:space="preserve">Share the opportunity with students. </w:t>
            </w:r>
          </w:p>
          <w:p w14:paraId="525AA6B0" w14:textId="77777777" w:rsidR="0057762F" w:rsidRDefault="0057762F" w:rsidP="00AC4B14">
            <w:pPr>
              <w:rPr>
                <w:rFonts w:cstheme="minorHAnsi"/>
                <w:sz w:val="24"/>
                <w:szCs w:val="24"/>
              </w:rPr>
            </w:pPr>
          </w:p>
          <w:p w14:paraId="7AB984B4" w14:textId="77777777" w:rsidR="0057762F" w:rsidRPr="00F0371F" w:rsidRDefault="0057762F" w:rsidP="00AC4B14">
            <w:pPr>
              <w:rPr>
                <w:rFonts w:cstheme="minorHAnsi"/>
                <w:sz w:val="24"/>
                <w:szCs w:val="24"/>
              </w:rPr>
            </w:pPr>
            <w:r>
              <w:rPr>
                <w:rFonts w:cstheme="minorHAnsi"/>
                <w:sz w:val="24"/>
                <w:szCs w:val="24"/>
              </w:rPr>
              <w:t xml:space="preserve">Information about the SEND Youth Council can be found </w:t>
            </w:r>
            <w:hyperlink r:id="rId10" w:history="1">
              <w:r w:rsidRPr="00F0371F">
                <w:rPr>
                  <w:rStyle w:val="Hyperlink"/>
                  <w:rFonts w:cstheme="minorHAnsi"/>
                  <w:sz w:val="24"/>
                  <w:szCs w:val="24"/>
                </w:rPr>
                <w:t>here</w:t>
              </w:r>
            </w:hyperlink>
            <w:r>
              <w:rPr>
                <w:rFonts w:cstheme="minorHAnsi"/>
                <w:sz w:val="24"/>
                <w:szCs w:val="24"/>
              </w:rPr>
              <w:t xml:space="preserve">. </w:t>
            </w:r>
          </w:p>
        </w:tc>
      </w:tr>
      <w:tr w:rsidR="0057762F" w14:paraId="4238B636" w14:textId="77777777" w:rsidTr="0057762F">
        <w:tc>
          <w:tcPr>
            <w:tcW w:w="1980" w:type="dxa"/>
          </w:tcPr>
          <w:p w14:paraId="31F01DAE" w14:textId="77777777" w:rsidR="0057762F" w:rsidRDefault="0057762F" w:rsidP="0057762F">
            <w:pPr>
              <w:jc w:val="center"/>
              <w:rPr>
                <w:rFonts w:cstheme="minorHAnsi"/>
                <w:sz w:val="24"/>
                <w:szCs w:val="24"/>
              </w:rPr>
            </w:pPr>
            <w:r>
              <w:rPr>
                <w:rFonts w:cstheme="minorHAnsi"/>
                <w:sz w:val="24"/>
                <w:szCs w:val="24"/>
              </w:rPr>
              <w:t>Compass House</w:t>
            </w:r>
          </w:p>
          <w:p w14:paraId="2638EFBA" w14:textId="77777777" w:rsidR="0057762F" w:rsidRDefault="0057762F" w:rsidP="0057762F">
            <w:pPr>
              <w:jc w:val="center"/>
              <w:rPr>
                <w:rFonts w:cstheme="minorHAnsi"/>
                <w:sz w:val="24"/>
                <w:szCs w:val="24"/>
              </w:rPr>
            </w:pPr>
          </w:p>
          <w:p w14:paraId="5C79985F" w14:textId="3DDF7489" w:rsidR="0057762F" w:rsidRDefault="0057762F" w:rsidP="0057762F">
            <w:pPr>
              <w:jc w:val="center"/>
              <w:rPr>
                <w:rFonts w:cstheme="minorHAnsi"/>
                <w:sz w:val="24"/>
                <w:szCs w:val="24"/>
              </w:rPr>
            </w:pPr>
            <w:r>
              <w:rPr>
                <w:noProof/>
              </w:rPr>
              <w:drawing>
                <wp:inline distT="0" distB="0" distL="0" distR="0" wp14:anchorId="40867E7E" wp14:editId="1F0C9C6F">
                  <wp:extent cx="581025" cy="6690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247" cy="673873"/>
                          </a:xfrm>
                          <a:prstGeom prst="rect">
                            <a:avLst/>
                          </a:prstGeom>
                        </pic:spPr>
                      </pic:pic>
                    </a:graphicData>
                  </a:graphic>
                </wp:inline>
              </w:drawing>
            </w:r>
          </w:p>
          <w:p w14:paraId="2E6EE2EF" w14:textId="77777777" w:rsidR="0057762F" w:rsidRDefault="0057762F" w:rsidP="0057762F">
            <w:pPr>
              <w:jc w:val="center"/>
              <w:rPr>
                <w:rFonts w:cstheme="minorHAnsi"/>
                <w:sz w:val="24"/>
                <w:szCs w:val="24"/>
              </w:rPr>
            </w:pPr>
          </w:p>
          <w:p w14:paraId="206A73F0" w14:textId="77777777" w:rsidR="0057762F" w:rsidRDefault="0057762F" w:rsidP="0057762F">
            <w:pPr>
              <w:jc w:val="center"/>
              <w:rPr>
                <w:rFonts w:cstheme="minorHAnsi"/>
                <w:sz w:val="24"/>
                <w:szCs w:val="24"/>
              </w:rPr>
            </w:pPr>
          </w:p>
          <w:p w14:paraId="63AF620B" w14:textId="77777777" w:rsidR="0057762F" w:rsidRPr="00F0371F" w:rsidRDefault="0057762F" w:rsidP="0057762F">
            <w:pPr>
              <w:jc w:val="center"/>
              <w:rPr>
                <w:rFonts w:cstheme="minorHAnsi"/>
                <w:sz w:val="24"/>
                <w:szCs w:val="24"/>
              </w:rPr>
            </w:pPr>
          </w:p>
        </w:tc>
        <w:tc>
          <w:tcPr>
            <w:tcW w:w="5670" w:type="dxa"/>
          </w:tcPr>
          <w:p w14:paraId="5A5124EC" w14:textId="77777777" w:rsidR="0057762F" w:rsidRDefault="0057762F" w:rsidP="00AC4B14">
            <w:pPr>
              <w:rPr>
                <w:sz w:val="24"/>
                <w:szCs w:val="24"/>
              </w:rPr>
            </w:pPr>
            <w:r w:rsidRPr="00F242F7">
              <w:rPr>
                <w:sz w:val="24"/>
                <w:szCs w:val="24"/>
              </w:rPr>
              <w:t>Compass House is a work experience project for students with SEND in</w:t>
            </w:r>
            <w:r>
              <w:rPr>
                <w:sz w:val="24"/>
                <w:szCs w:val="24"/>
              </w:rPr>
              <w:t xml:space="preserve"> Leeds. Students come together</w:t>
            </w:r>
            <w:r w:rsidRPr="00F242F7">
              <w:rPr>
                <w:sz w:val="24"/>
                <w:szCs w:val="24"/>
              </w:rPr>
              <w:t xml:space="preserve"> to plan and host a </w:t>
            </w:r>
            <w:proofErr w:type="gramStart"/>
            <w:r w:rsidRPr="00F242F7">
              <w:rPr>
                <w:sz w:val="24"/>
                <w:szCs w:val="24"/>
              </w:rPr>
              <w:t>pop up</w:t>
            </w:r>
            <w:proofErr w:type="gramEnd"/>
            <w:r w:rsidRPr="00F242F7">
              <w:rPr>
                <w:sz w:val="24"/>
                <w:szCs w:val="24"/>
              </w:rPr>
              <w:t xml:space="preserve"> shop, making all the decisions about the shop and creating handmade products to sell.</w:t>
            </w:r>
            <w:r>
              <w:rPr>
                <w:sz w:val="24"/>
                <w:szCs w:val="24"/>
              </w:rPr>
              <w:t xml:space="preserve"> Students meet (with staff support) from September to December each year, and the shop is open for one week during the month of December. </w:t>
            </w:r>
          </w:p>
          <w:p w14:paraId="76026545" w14:textId="77777777" w:rsidR="0057762F" w:rsidRDefault="0057762F" w:rsidP="00AC4B14">
            <w:pPr>
              <w:rPr>
                <w:sz w:val="24"/>
                <w:szCs w:val="24"/>
              </w:rPr>
            </w:pPr>
          </w:p>
          <w:p w14:paraId="54F40BB7" w14:textId="77777777" w:rsidR="0057762F" w:rsidRDefault="0057762F" w:rsidP="00AC4B14">
            <w:pPr>
              <w:rPr>
                <w:sz w:val="24"/>
                <w:szCs w:val="24"/>
              </w:rPr>
            </w:pPr>
            <w:r>
              <w:rPr>
                <w:sz w:val="24"/>
                <w:szCs w:val="24"/>
              </w:rPr>
              <w:t xml:space="preserve">Taking part in the Compass House projects provides students with meaningful work experience as well as gaining skills such as working as a team, organisation, dealing with customers and working with money. </w:t>
            </w:r>
          </w:p>
          <w:p w14:paraId="31724ADE" w14:textId="77777777" w:rsidR="0057762F" w:rsidRDefault="0057762F" w:rsidP="00AC4B14">
            <w:pPr>
              <w:rPr>
                <w:sz w:val="24"/>
                <w:szCs w:val="24"/>
              </w:rPr>
            </w:pPr>
          </w:p>
          <w:p w14:paraId="08AEE2E5" w14:textId="77777777" w:rsidR="0057762F" w:rsidRPr="00790ED1" w:rsidRDefault="0057762F" w:rsidP="00AC4B14">
            <w:pPr>
              <w:rPr>
                <w:rFonts w:cstheme="minorHAnsi"/>
                <w:i/>
                <w:iCs/>
                <w:sz w:val="24"/>
                <w:szCs w:val="24"/>
              </w:rPr>
            </w:pPr>
            <w:r w:rsidRPr="00790ED1">
              <w:rPr>
                <w:rFonts w:cstheme="minorHAnsi"/>
                <w:i/>
                <w:iCs/>
                <w:sz w:val="24"/>
                <w:szCs w:val="24"/>
              </w:rPr>
              <w:t xml:space="preserve">Compass House is available for specialist settings. </w:t>
            </w:r>
          </w:p>
          <w:p w14:paraId="3843202B" w14:textId="77777777" w:rsidR="0057762F" w:rsidRPr="00F242F7" w:rsidRDefault="0057762F" w:rsidP="00AC4B14">
            <w:pPr>
              <w:rPr>
                <w:sz w:val="24"/>
                <w:szCs w:val="24"/>
              </w:rPr>
            </w:pPr>
          </w:p>
          <w:p w14:paraId="0235D536" w14:textId="77777777" w:rsidR="0057762F" w:rsidRPr="00F0371F" w:rsidRDefault="0057762F" w:rsidP="00AC4B14">
            <w:pPr>
              <w:rPr>
                <w:bCs/>
                <w:color w:val="002060"/>
                <w:sz w:val="24"/>
                <w:szCs w:val="24"/>
              </w:rPr>
            </w:pPr>
          </w:p>
        </w:tc>
        <w:tc>
          <w:tcPr>
            <w:tcW w:w="2977" w:type="dxa"/>
          </w:tcPr>
          <w:p w14:paraId="664125F2" w14:textId="77777777" w:rsidR="0057762F" w:rsidRDefault="0057762F" w:rsidP="00AC4B14">
            <w:pPr>
              <w:rPr>
                <w:rFonts w:cstheme="minorHAnsi"/>
                <w:sz w:val="24"/>
                <w:szCs w:val="24"/>
              </w:rPr>
            </w:pPr>
            <w:r>
              <w:rPr>
                <w:rFonts w:cstheme="minorHAnsi"/>
                <w:sz w:val="24"/>
                <w:szCs w:val="24"/>
              </w:rPr>
              <w:t xml:space="preserve">September to December </w:t>
            </w:r>
          </w:p>
        </w:tc>
        <w:tc>
          <w:tcPr>
            <w:tcW w:w="4394" w:type="dxa"/>
          </w:tcPr>
          <w:p w14:paraId="6C59B0FF" w14:textId="77777777" w:rsidR="0057762F" w:rsidRDefault="0057762F" w:rsidP="00AC4B14">
            <w:pPr>
              <w:rPr>
                <w:rFonts w:cstheme="minorHAnsi"/>
                <w:sz w:val="24"/>
                <w:szCs w:val="24"/>
              </w:rPr>
            </w:pPr>
            <w:r>
              <w:rPr>
                <w:rFonts w:cstheme="minorHAnsi"/>
                <w:sz w:val="24"/>
                <w:szCs w:val="24"/>
              </w:rPr>
              <w:t xml:space="preserve">Contact </w:t>
            </w:r>
            <w:hyperlink r:id="rId12" w:history="1">
              <w:r w:rsidRPr="007479FF">
                <w:rPr>
                  <w:rStyle w:val="Hyperlink"/>
                  <w:rFonts w:cstheme="minorHAnsi"/>
                  <w:sz w:val="24"/>
                  <w:szCs w:val="24"/>
                </w:rPr>
                <w:t>VIC@leeds.gov.uk</w:t>
              </w:r>
            </w:hyperlink>
            <w:r>
              <w:rPr>
                <w:rFonts w:cstheme="minorHAnsi"/>
                <w:sz w:val="24"/>
                <w:szCs w:val="24"/>
              </w:rPr>
              <w:t xml:space="preserve"> for more information about how you can get involved. </w:t>
            </w:r>
          </w:p>
          <w:p w14:paraId="47E80FB0" w14:textId="77777777" w:rsidR="0057762F" w:rsidRDefault="0057762F" w:rsidP="00AC4B14">
            <w:pPr>
              <w:rPr>
                <w:rFonts w:cstheme="minorHAnsi"/>
                <w:sz w:val="24"/>
                <w:szCs w:val="24"/>
              </w:rPr>
            </w:pPr>
          </w:p>
          <w:p w14:paraId="2CAE9FE4" w14:textId="77777777" w:rsidR="0057762F" w:rsidRDefault="0057762F" w:rsidP="00AC4B14">
            <w:pPr>
              <w:rPr>
                <w:rFonts w:cstheme="minorHAnsi"/>
                <w:sz w:val="24"/>
                <w:szCs w:val="24"/>
              </w:rPr>
            </w:pPr>
            <w:r>
              <w:rPr>
                <w:rFonts w:cstheme="minorHAnsi"/>
                <w:sz w:val="24"/>
                <w:szCs w:val="24"/>
              </w:rPr>
              <w:t xml:space="preserve">Information about Compass House can be found </w:t>
            </w:r>
            <w:hyperlink r:id="rId13" w:history="1">
              <w:r w:rsidRPr="00F0371F">
                <w:rPr>
                  <w:rStyle w:val="Hyperlink"/>
                  <w:rFonts w:cstheme="minorHAnsi"/>
                  <w:sz w:val="24"/>
                  <w:szCs w:val="24"/>
                </w:rPr>
                <w:t>here</w:t>
              </w:r>
            </w:hyperlink>
            <w:r>
              <w:rPr>
                <w:rFonts w:cstheme="minorHAnsi"/>
                <w:sz w:val="24"/>
                <w:szCs w:val="24"/>
              </w:rPr>
              <w:t xml:space="preserve">. </w:t>
            </w:r>
          </w:p>
        </w:tc>
      </w:tr>
      <w:tr w:rsidR="00F17364" w14:paraId="0938FC1F" w14:textId="77777777" w:rsidTr="0057762F">
        <w:tc>
          <w:tcPr>
            <w:tcW w:w="1980" w:type="dxa"/>
          </w:tcPr>
          <w:p w14:paraId="4C9DDBEA" w14:textId="77777777" w:rsidR="00F17364" w:rsidRDefault="00F17364" w:rsidP="00F17364">
            <w:pPr>
              <w:jc w:val="center"/>
              <w:rPr>
                <w:rFonts w:cstheme="minorHAnsi"/>
                <w:sz w:val="24"/>
                <w:szCs w:val="24"/>
              </w:rPr>
            </w:pPr>
            <w:r>
              <w:rPr>
                <w:rFonts w:cstheme="minorHAnsi"/>
                <w:sz w:val="24"/>
                <w:szCs w:val="24"/>
              </w:rPr>
              <w:t>Make Your Mark</w:t>
            </w:r>
          </w:p>
          <w:p w14:paraId="5F0A8935" w14:textId="77777777" w:rsidR="00F17364" w:rsidRDefault="00F17364" w:rsidP="00F17364">
            <w:pPr>
              <w:jc w:val="center"/>
              <w:rPr>
                <w:rFonts w:cstheme="minorHAnsi"/>
                <w:sz w:val="24"/>
                <w:szCs w:val="24"/>
              </w:rPr>
            </w:pPr>
          </w:p>
          <w:p w14:paraId="323E90FE" w14:textId="77777777" w:rsidR="00F17364" w:rsidRDefault="00F17364" w:rsidP="00F17364">
            <w:pPr>
              <w:jc w:val="center"/>
              <w:rPr>
                <w:rFonts w:cstheme="minorHAnsi"/>
                <w:sz w:val="24"/>
                <w:szCs w:val="24"/>
              </w:rPr>
            </w:pPr>
            <w:r>
              <w:rPr>
                <w:noProof/>
              </w:rPr>
              <w:drawing>
                <wp:inline distT="0" distB="0" distL="0" distR="0" wp14:anchorId="254D38D7" wp14:editId="1E8A5E68">
                  <wp:extent cx="390525" cy="497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36" cy="503672"/>
                          </a:xfrm>
                          <a:prstGeom prst="rect">
                            <a:avLst/>
                          </a:prstGeom>
                        </pic:spPr>
                      </pic:pic>
                    </a:graphicData>
                  </a:graphic>
                </wp:inline>
              </w:drawing>
            </w:r>
          </w:p>
          <w:p w14:paraId="62332F85" w14:textId="77777777" w:rsidR="00F17364" w:rsidRDefault="00F17364" w:rsidP="00F17364">
            <w:pPr>
              <w:jc w:val="center"/>
              <w:rPr>
                <w:rFonts w:cstheme="minorHAnsi"/>
                <w:sz w:val="24"/>
                <w:szCs w:val="24"/>
              </w:rPr>
            </w:pPr>
          </w:p>
        </w:tc>
        <w:tc>
          <w:tcPr>
            <w:tcW w:w="5670" w:type="dxa"/>
          </w:tcPr>
          <w:p w14:paraId="60B2E44C" w14:textId="3D548E81" w:rsidR="00F17364" w:rsidRPr="00F242F7" w:rsidRDefault="00F17364" w:rsidP="00F17364">
            <w:pPr>
              <w:rPr>
                <w:sz w:val="24"/>
                <w:szCs w:val="24"/>
              </w:rPr>
            </w:pPr>
            <w:r w:rsidRPr="00F9147A">
              <w:t>Make Your Mark is the largest youth consultation in the UK. Young people 11 to 18 years old are asked to vote for the issues they think should become the national campaigns for young people in the UK – this is a bi-annual ballot and will not take place within the 2024/25 academic year.</w:t>
            </w:r>
          </w:p>
        </w:tc>
        <w:tc>
          <w:tcPr>
            <w:tcW w:w="2977" w:type="dxa"/>
          </w:tcPr>
          <w:p w14:paraId="49ED0F6D" w14:textId="6FEBB2B8" w:rsidR="00F17364" w:rsidRDefault="00F17364" w:rsidP="00F17364">
            <w:pPr>
              <w:rPr>
                <w:rFonts w:cstheme="minorHAnsi"/>
                <w:sz w:val="24"/>
                <w:szCs w:val="24"/>
              </w:rPr>
            </w:pPr>
            <w:r>
              <w:rPr>
                <w:rFonts w:cstheme="minorHAnsi"/>
                <w:sz w:val="24"/>
                <w:szCs w:val="24"/>
              </w:rPr>
              <w:t xml:space="preserve">February, bi-annually </w:t>
            </w:r>
          </w:p>
        </w:tc>
        <w:tc>
          <w:tcPr>
            <w:tcW w:w="4394" w:type="dxa"/>
          </w:tcPr>
          <w:p w14:paraId="26759DF1" w14:textId="40341E1A" w:rsidR="00F17364" w:rsidRDefault="00F17364" w:rsidP="00F17364">
            <w:pPr>
              <w:rPr>
                <w:rFonts w:cstheme="minorHAnsi"/>
                <w:sz w:val="24"/>
                <w:szCs w:val="24"/>
              </w:rPr>
            </w:pPr>
            <w:r>
              <w:rPr>
                <w:rFonts w:cstheme="minorHAnsi"/>
                <w:sz w:val="24"/>
                <w:szCs w:val="24"/>
              </w:rPr>
              <w:t xml:space="preserve">For more information and to get involved email </w:t>
            </w:r>
            <w:hyperlink r:id="rId15" w:history="1">
              <w:r w:rsidRPr="007479FF">
                <w:rPr>
                  <w:rStyle w:val="Hyperlink"/>
                  <w:rFonts w:cstheme="minorHAnsi"/>
                  <w:sz w:val="24"/>
                  <w:szCs w:val="24"/>
                </w:rPr>
                <w:t>VIC@leeds.gov.uk</w:t>
              </w:r>
            </w:hyperlink>
            <w:r>
              <w:rPr>
                <w:rFonts w:cstheme="minorHAnsi"/>
                <w:sz w:val="24"/>
                <w:szCs w:val="24"/>
              </w:rPr>
              <w:t xml:space="preserve"> </w:t>
            </w:r>
          </w:p>
        </w:tc>
      </w:tr>
      <w:tr w:rsidR="0057762F" w14:paraId="6FAC2BB1" w14:textId="77777777" w:rsidTr="004D0131">
        <w:tc>
          <w:tcPr>
            <w:tcW w:w="1980" w:type="dxa"/>
            <w:shd w:val="clear" w:color="auto" w:fill="F9EC31"/>
          </w:tcPr>
          <w:p w14:paraId="519173CE" w14:textId="4F837E40" w:rsidR="0057762F" w:rsidRDefault="0057762F" w:rsidP="0057762F">
            <w:pPr>
              <w:rPr>
                <w:rFonts w:cstheme="minorHAnsi"/>
                <w:sz w:val="24"/>
                <w:szCs w:val="24"/>
              </w:rPr>
            </w:pPr>
            <w:r>
              <w:lastRenderedPageBreak/>
              <w:br w:type="page"/>
            </w:r>
            <w:r w:rsidRPr="00F0371F">
              <w:rPr>
                <w:rFonts w:cstheme="minorHAnsi"/>
                <w:b/>
                <w:bCs/>
                <w:sz w:val="24"/>
                <w:szCs w:val="24"/>
              </w:rPr>
              <w:t>Opportunity</w:t>
            </w:r>
          </w:p>
        </w:tc>
        <w:tc>
          <w:tcPr>
            <w:tcW w:w="5670" w:type="dxa"/>
            <w:shd w:val="clear" w:color="auto" w:fill="F9EC31"/>
          </w:tcPr>
          <w:p w14:paraId="54147D5A" w14:textId="4CF8465C" w:rsidR="0057762F" w:rsidRPr="00F9147A" w:rsidRDefault="0057762F" w:rsidP="0057762F">
            <w:r w:rsidRPr="00F0371F">
              <w:rPr>
                <w:b/>
                <w:bCs/>
                <w:sz w:val="24"/>
                <w:szCs w:val="24"/>
              </w:rPr>
              <w:t xml:space="preserve">What is involved </w:t>
            </w:r>
          </w:p>
        </w:tc>
        <w:tc>
          <w:tcPr>
            <w:tcW w:w="2977" w:type="dxa"/>
            <w:shd w:val="clear" w:color="auto" w:fill="F9EC31"/>
          </w:tcPr>
          <w:p w14:paraId="3119C588" w14:textId="6BB02078" w:rsidR="0057762F" w:rsidRDefault="0057762F" w:rsidP="0057762F">
            <w:pPr>
              <w:rPr>
                <w:rFonts w:cstheme="minorHAnsi"/>
                <w:sz w:val="24"/>
                <w:szCs w:val="24"/>
              </w:rPr>
            </w:pPr>
            <w:r>
              <w:rPr>
                <w:rFonts w:cstheme="minorHAnsi"/>
                <w:b/>
                <w:bCs/>
                <w:sz w:val="24"/>
                <w:szCs w:val="24"/>
              </w:rPr>
              <w:t>When it takes place</w:t>
            </w:r>
          </w:p>
        </w:tc>
        <w:tc>
          <w:tcPr>
            <w:tcW w:w="4394" w:type="dxa"/>
            <w:shd w:val="clear" w:color="auto" w:fill="F9EC31"/>
          </w:tcPr>
          <w:p w14:paraId="44BBB218" w14:textId="5EDA8EC2" w:rsidR="0057762F" w:rsidRDefault="0057762F" w:rsidP="0057762F">
            <w:pPr>
              <w:rPr>
                <w:rFonts w:cstheme="minorHAnsi"/>
                <w:sz w:val="24"/>
                <w:szCs w:val="24"/>
              </w:rPr>
            </w:pPr>
            <w:r w:rsidRPr="00F0371F">
              <w:rPr>
                <w:rFonts w:cstheme="minorHAnsi"/>
                <w:b/>
                <w:bCs/>
                <w:sz w:val="24"/>
                <w:szCs w:val="24"/>
              </w:rPr>
              <w:t>How to get involved</w:t>
            </w:r>
          </w:p>
        </w:tc>
      </w:tr>
      <w:tr w:rsidR="0057762F" w14:paraId="3E0366FD" w14:textId="77777777" w:rsidTr="0057762F">
        <w:tc>
          <w:tcPr>
            <w:tcW w:w="1980" w:type="dxa"/>
          </w:tcPr>
          <w:p w14:paraId="74E64823" w14:textId="77777777" w:rsidR="0057762F" w:rsidRDefault="0057762F" w:rsidP="0057762F">
            <w:pPr>
              <w:jc w:val="center"/>
              <w:rPr>
                <w:rFonts w:cstheme="minorHAnsi"/>
                <w:sz w:val="24"/>
                <w:szCs w:val="24"/>
              </w:rPr>
            </w:pPr>
            <w:r>
              <w:rPr>
                <w:rFonts w:cstheme="minorHAnsi"/>
                <w:sz w:val="24"/>
                <w:szCs w:val="24"/>
              </w:rPr>
              <w:t>Takeover Challenge</w:t>
            </w:r>
          </w:p>
          <w:p w14:paraId="4F17755D" w14:textId="77777777" w:rsidR="0057762F" w:rsidRDefault="0057762F" w:rsidP="0057762F">
            <w:pPr>
              <w:jc w:val="center"/>
              <w:rPr>
                <w:rFonts w:cstheme="minorHAnsi"/>
                <w:sz w:val="24"/>
                <w:szCs w:val="24"/>
              </w:rPr>
            </w:pPr>
          </w:p>
          <w:p w14:paraId="3F8D93F5" w14:textId="0A4B17FE" w:rsidR="0057762F" w:rsidRDefault="0057762F" w:rsidP="0057762F">
            <w:pPr>
              <w:jc w:val="center"/>
              <w:rPr>
                <w:rFonts w:cstheme="minorHAnsi"/>
                <w:sz w:val="24"/>
                <w:szCs w:val="24"/>
              </w:rPr>
            </w:pPr>
            <w:r>
              <w:rPr>
                <w:noProof/>
              </w:rPr>
              <w:drawing>
                <wp:inline distT="0" distB="0" distL="0" distR="0" wp14:anchorId="7DE42CE8" wp14:editId="6F50C208">
                  <wp:extent cx="485775" cy="632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9409" cy="637550"/>
                          </a:xfrm>
                          <a:prstGeom prst="rect">
                            <a:avLst/>
                          </a:prstGeom>
                        </pic:spPr>
                      </pic:pic>
                    </a:graphicData>
                  </a:graphic>
                </wp:inline>
              </w:drawing>
            </w:r>
          </w:p>
        </w:tc>
        <w:tc>
          <w:tcPr>
            <w:tcW w:w="5670" w:type="dxa"/>
          </w:tcPr>
          <w:p w14:paraId="3571F05A" w14:textId="77777777" w:rsidR="0057762F" w:rsidRDefault="0057762F" w:rsidP="0057762F">
            <w:pPr>
              <w:rPr>
                <w:sz w:val="24"/>
                <w:szCs w:val="24"/>
              </w:rPr>
            </w:pPr>
            <w:r w:rsidRPr="00F242F7">
              <w:rPr>
                <w:sz w:val="24"/>
                <w:szCs w:val="24"/>
              </w:rPr>
              <w:t xml:space="preserve">Takeover Challenge is a national initiative which enables young people to </w:t>
            </w:r>
            <w:proofErr w:type="spellStart"/>
            <w:r w:rsidRPr="00F242F7">
              <w:rPr>
                <w:sz w:val="24"/>
                <w:szCs w:val="24"/>
              </w:rPr>
              <w:t>takeover</w:t>
            </w:r>
            <w:proofErr w:type="spellEnd"/>
            <w:r w:rsidRPr="00F242F7">
              <w:rPr>
                <w:sz w:val="24"/>
                <w:szCs w:val="24"/>
              </w:rPr>
              <w:t xml:space="preserve"> the role of adults during the month of November. </w:t>
            </w:r>
          </w:p>
          <w:p w14:paraId="6F1E7812" w14:textId="77777777" w:rsidR="0057762F" w:rsidRDefault="0057762F" w:rsidP="0057762F">
            <w:pPr>
              <w:rPr>
                <w:sz w:val="24"/>
                <w:szCs w:val="24"/>
              </w:rPr>
            </w:pPr>
          </w:p>
          <w:p w14:paraId="7EF14066" w14:textId="77777777" w:rsidR="0057762F" w:rsidRPr="00F242F7" w:rsidRDefault="0057762F" w:rsidP="0057762F">
            <w:pPr>
              <w:rPr>
                <w:sz w:val="24"/>
                <w:szCs w:val="24"/>
              </w:rPr>
            </w:pPr>
            <w:r w:rsidRPr="00F242F7">
              <w:rPr>
                <w:sz w:val="24"/>
                <w:szCs w:val="24"/>
              </w:rPr>
              <w:t xml:space="preserve">Each year students with SEND are invited to </w:t>
            </w:r>
            <w:proofErr w:type="spellStart"/>
            <w:r w:rsidRPr="00F242F7">
              <w:rPr>
                <w:sz w:val="24"/>
                <w:szCs w:val="24"/>
              </w:rPr>
              <w:t>takeover</w:t>
            </w:r>
            <w:proofErr w:type="spellEnd"/>
            <w:r w:rsidRPr="00F242F7">
              <w:rPr>
                <w:sz w:val="24"/>
                <w:szCs w:val="24"/>
              </w:rPr>
              <w:t xml:space="preserve"> the </w:t>
            </w:r>
            <w:r>
              <w:rPr>
                <w:sz w:val="24"/>
                <w:szCs w:val="24"/>
              </w:rPr>
              <w:t xml:space="preserve">Leeds Area </w:t>
            </w:r>
            <w:r w:rsidRPr="00F242F7">
              <w:rPr>
                <w:sz w:val="24"/>
                <w:szCs w:val="24"/>
              </w:rPr>
              <w:t>SEND Partnershi</w:t>
            </w:r>
            <w:r>
              <w:rPr>
                <w:sz w:val="24"/>
                <w:szCs w:val="24"/>
              </w:rPr>
              <w:t xml:space="preserve">p Board to speak to them about issues that are important to them. Students gain skills such as planning, </w:t>
            </w:r>
            <w:proofErr w:type="gramStart"/>
            <w:r>
              <w:rPr>
                <w:sz w:val="24"/>
                <w:szCs w:val="24"/>
              </w:rPr>
              <w:t>team work</w:t>
            </w:r>
            <w:proofErr w:type="gramEnd"/>
            <w:r>
              <w:rPr>
                <w:sz w:val="24"/>
                <w:szCs w:val="24"/>
              </w:rPr>
              <w:t xml:space="preserve">, public speaking and working with professionals to achieve outcomes. </w:t>
            </w:r>
          </w:p>
          <w:p w14:paraId="08407E9F" w14:textId="77777777" w:rsidR="0057762F" w:rsidRPr="00F9147A" w:rsidRDefault="0057762F" w:rsidP="0057762F"/>
        </w:tc>
        <w:tc>
          <w:tcPr>
            <w:tcW w:w="2977" w:type="dxa"/>
          </w:tcPr>
          <w:p w14:paraId="2D464D17" w14:textId="77777777" w:rsidR="0057762F" w:rsidRDefault="0057762F" w:rsidP="0057762F">
            <w:pPr>
              <w:rPr>
                <w:rFonts w:cstheme="minorHAnsi"/>
                <w:sz w:val="24"/>
                <w:szCs w:val="24"/>
              </w:rPr>
            </w:pPr>
            <w:r>
              <w:rPr>
                <w:rFonts w:cstheme="minorHAnsi"/>
                <w:sz w:val="24"/>
                <w:szCs w:val="24"/>
              </w:rPr>
              <w:t xml:space="preserve">November </w:t>
            </w:r>
          </w:p>
        </w:tc>
        <w:tc>
          <w:tcPr>
            <w:tcW w:w="4394" w:type="dxa"/>
          </w:tcPr>
          <w:p w14:paraId="649C4E91" w14:textId="77777777" w:rsidR="0057762F" w:rsidRDefault="0057762F" w:rsidP="0057762F">
            <w:pPr>
              <w:rPr>
                <w:rFonts w:cstheme="minorHAnsi"/>
                <w:sz w:val="24"/>
                <w:szCs w:val="24"/>
              </w:rPr>
            </w:pPr>
            <w:r>
              <w:rPr>
                <w:rFonts w:cstheme="minorHAnsi"/>
                <w:sz w:val="24"/>
                <w:szCs w:val="24"/>
              </w:rPr>
              <w:t xml:space="preserve">For more information and to get involved email </w:t>
            </w:r>
            <w:hyperlink r:id="rId17" w:history="1">
              <w:r w:rsidRPr="007479FF">
                <w:rPr>
                  <w:rStyle w:val="Hyperlink"/>
                  <w:rFonts w:cstheme="minorHAnsi"/>
                  <w:sz w:val="24"/>
                  <w:szCs w:val="24"/>
                </w:rPr>
                <w:t>VIC@leeds.gov.uk</w:t>
              </w:r>
            </w:hyperlink>
          </w:p>
          <w:p w14:paraId="30EBDC20" w14:textId="77777777" w:rsidR="0057762F" w:rsidRDefault="0057762F" w:rsidP="0057762F">
            <w:pPr>
              <w:rPr>
                <w:rFonts w:cstheme="minorHAnsi"/>
                <w:sz w:val="24"/>
                <w:szCs w:val="24"/>
              </w:rPr>
            </w:pPr>
          </w:p>
          <w:p w14:paraId="7D082F16" w14:textId="7E86C684" w:rsidR="0057762F" w:rsidRDefault="0057762F" w:rsidP="0057762F">
            <w:pPr>
              <w:rPr>
                <w:rFonts w:cstheme="minorHAnsi"/>
                <w:sz w:val="24"/>
                <w:szCs w:val="24"/>
              </w:rPr>
            </w:pPr>
            <w:r>
              <w:rPr>
                <w:rFonts w:cstheme="minorHAnsi"/>
                <w:sz w:val="24"/>
                <w:szCs w:val="24"/>
              </w:rPr>
              <w:t xml:space="preserve">Information about Takeover can be found </w:t>
            </w:r>
            <w:hyperlink r:id="rId18" w:history="1">
              <w:r w:rsidRPr="00F0371F">
                <w:rPr>
                  <w:rStyle w:val="Hyperlink"/>
                  <w:rFonts w:cstheme="minorHAnsi"/>
                  <w:sz w:val="24"/>
                  <w:szCs w:val="24"/>
                </w:rPr>
                <w:t>here</w:t>
              </w:r>
            </w:hyperlink>
            <w:r>
              <w:rPr>
                <w:rFonts w:cstheme="minorHAnsi"/>
                <w:sz w:val="24"/>
                <w:szCs w:val="24"/>
              </w:rPr>
              <w:t>.</w:t>
            </w:r>
          </w:p>
        </w:tc>
      </w:tr>
      <w:tr w:rsidR="0057762F" w14:paraId="0D4E471A" w14:textId="77777777" w:rsidTr="0057762F">
        <w:tc>
          <w:tcPr>
            <w:tcW w:w="1980" w:type="dxa"/>
          </w:tcPr>
          <w:p w14:paraId="78696FF5" w14:textId="77777777" w:rsidR="0057762F" w:rsidRDefault="0057762F" w:rsidP="0057762F">
            <w:pPr>
              <w:jc w:val="center"/>
              <w:rPr>
                <w:rFonts w:cstheme="minorHAnsi"/>
                <w:sz w:val="24"/>
                <w:szCs w:val="24"/>
              </w:rPr>
            </w:pPr>
            <w:r>
              <w:rPr>
                <w:rFonts w:cstheme="minorHAnsi"/>
                <w:sz w:val="24"/>
                <w:szCs w:val="24"/>
              </w:rPr>
              <w:t>SEND Summit</w:t>
            </w:r>
          </w:p>
          <w:p w14:paraId="10B2FD73" w14:textId="77777777" w:rsidR="0057762F" w:rsidRDefault="0057762F" w:rsidP="0057762F">
            <w:pPr>
              <w:jc w:val="center"/>
              <w:rPr>
                <w:rFonts w:cstheme="minorHAnsi"/>
                <w:sz w:val="24"/>
                <w:szCs w:val="24"/>
              </w:rPr>
            </w:pPr>
          </w:p>
          <w:p w14:paraId="2392C577" w14:textId="33E14F7F" w:rsidR="0057762F" w:rsidRDefault="0057762F" w:rsidP="0057762F">
            <w:pPr>
              <w:jc w:val="center"/>
              <w:rPr>
                <w:rFonts w:cstheme="minorHAnsi"/>
                <w:sz w:val="24"/>
                <w:szCs w:val="24"/>
              </w:rPr>
            </w:pPr>
            <w:r>
              <w:rPr>
                <w:noProof/>
              </w:rPr>
              <w:drawing>
                <wp:inline distT="0" distB="0" distL="0" distR="0" wp14:anchorId="65B386E3" wp14:editId="6A9BDBE5">
                  <wp:extent cx="485475"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3128" cy="638560"/>
                          </a:xfrm>
                          <a:prstGeom prst="rect">
                            <a:avLst/>
                          </a:prstGeom>
                        </pic:spPr>
                      </pic:pic>
                    </a:graphicData>
                  </a:graphic>
                </wp:inline>
              </w:drawing>
            </w:r>
          </w:p>
        </w:tc>
        <w:tc>
          <w:tcPr>
            <w:tcW w:w="5670" w:type="dxa"/>
          </w:tcPr>
          <w:p w14:paraId="50AE19A1" w14:textId="77777777" w:rsidR="0057762F" w:rsidRPr="00F707A2" w:rsidRDefault="0057762F" w:rsidP="0057762F">
            <w:r w:rsidRPr="00F707A2">
              <w:t>The SEN</w:t>
            </w:r>
            <w:r>
              <w:t>D Summit provides</w:t>
            </w:r>
            <w:r w:rsidRPr="00F707A2">
              <w:t xml:space="preserve"> an opportunity for students with SEND in Leeds to come together at Leeds Civic Hall to participate in consultations, share their school council successes and learn about services available to them within the city. </w:t>
            </w:r>
          </w:p>
          <w:p w14:paraId="421A268E" w14:textId="77777777" w:rsidR="0057762F" w:rsidRPr="00F242F7" w:rsidRDefault="0057762F" w:rsidP="0057762F">
            <w:pPr>
              <w:rPr>
                <w:sz w:val="24"/>
                <w:szCs w:val="24"/>
              </w:rPr>
            </w:pPr>
          </w:p>
        </w:tc>
        <w:tc>
          <w:tcPr>
            <w:tcW w:w="2977" w:type="dxa"/>
          </w:tcPr>
          <w:p w14:paraId="0045F31A" w14:textId="77777777" w:rsidR="0057762F" w:rsidRDefault="0057762F" w:rsidP="0057762F">
            <w:pPr>
              <w:rPr>
                <w:rFonts w:cstheme="minorHAnsi"/>
                <w:sz w:val="24"/>
                <w:szCs w:val="24"/>
              </w:rPr>
            </w:pPr>
            <w:r>
              <w:rPr>
                <w:rFonts w:cstheme="minorHAnsi"/>
                <w:sz w:val="24"/>
                <w:szCs w:val="24"/>
              </w:rPr>
              <w:t xml:space="preserve">February </w:t>
            </w:r>
          </w:p>
        </w:tc>
        <w:tc>
          <w:tcPr>
            <w:tcW w:w="4394" w:type="dxa"/>
          </w:tcPr>
          <w:p w14:paraId="64DED762" w14:textId="77777777" w:rsidR="0057762F" w:rsidRDefault="0057762F" w:rsidP="0057762F">
            <w:pPr>
              <w:rPr>
                <w:rFonts w:cstheme="minorHAnsi"/>
                <w:sz w:val="24"/>
                <w:szCs w:val="24"/>
              </w:rPr>
            </w:pPr>
            <w:r>
              <w:rPr>
                <w:rFonts w:cstheme="minorHAnsi"/>
                <w:sz w:val="24"/>
                <w:szCs w:val="24"/>
              </w:rPr>
              <w:t xml:space="preserve">For more information and to get involved email </w:t>
            </w:r>
            <w:hyperlink r:id="rId20" w:history="1">
              <w:r w:rsidRPr="007479FF">
                <w:rPr>
                  <w:rStyle w:val="Hyperlink"/>
                  <w:rFonts w:cstheme="minorHAnsi"/>
                  <w:sz w:val="24"/>
                  <w:szCs w:val="24"/>
                </w:rPr>
                <w:t>VIC@leeds.gov.uk</w:t>
              </w:r>
            </w:hyperlink>
          </w:p>
          <w:p w14:paraId="2EAFCBFD" w14:textId="77777777" w:rsidR="0057762F" w:rsidRDefault="0057762F" w:rsidP="0057762F">
            <w:pPr>
              <w:rPr>
                <w:rFonts w:cstheme="minorHAnsi"/>
                <w:sz w:val="24"/>
                <w:szCs w:val="24"/>
              </w:rPr>
            </w:pPr>
          </w:p>
          <w:p w14:paraId="26D60730" w14:textId="52BA693E" w:rsidR="0057762F" w:rsidRDefault="0057762F" w:rsidP="0057762F">
            <w:pPr>
              <w:rPr>
                <w:rFonts w:cstheme="minorHAnsi"/>
                <w:sz w:val="24"/>
                <w:szCs w:val="24"/>
              </w:rPr>
            </w:pPr>
            <w:r>
              <w:rPr>
                <w:rFonts w:cstheme="minorHAnsi"/>
                <w:sz w:val="24"/>
                <w:szCs w:val="24"/>
              </w:rPr>
              <w:t xml:space="preserve">Information about the SEND Summit can be found </w:t>
            </w:r>
            <w:hyperlink r:id="rId21" w:history="1">
              <w:r w:rsidRPr="00F0371F">
                <w:rPr>
                  <w:rStyle w:val="Hyperlink"/>
                  <w:rFonts w:cstheme="minorHAnsi"/>
                  <w:sz w:val="24"/>
                  <w:szCs w:val="24"/>
                </w:rPr>
                <w:t>here</w:t>
              </w:r>
            </w:hyperlink>
            <w:r>
              <w:rPr>
                <w:rFonts w:cstheme="minorHAnsi"/>
                <w:sz w:val="24"/>
                <w:szCs w:val="24"/>
              </w:rPr>
              <w:t>.</w:t>
            </w:r>
          </w:p>
          <w:p w14:paraId="168BD3EF" w14:textId="29316228" w:rsidR="0057762F" w:rsidRDefault="0057762F" w:rsidP="0057762F">
            <w:pPr>
              <w:rPr>
                <w:rFonts w:cstheme="minorHAnsi"/>
                <w:sz w:val="24"/>
                <w:szCs w:val="24"/>
              </w:rPr>
            </w:pPr>
          </w:p>
        </w:tc>
      </w:tr>
      <w:tr w:rsidR="0057762F" w14:paraId="258C19DD" w14:textId="77777777" w:rsidTr="0057762F">
        <w:tc>
          <w:tcPr>
            <w:tcW w:w="1980" w:type="dxa"/>
          </w:tcPr>
          <w:p w14:paraId="0F0A7909" w14:textId="77777777" w:rsidR="0057762F" w:rsidRDefault="0057762F" w:rsidP="0057762F">
            <w:pPr>
              <w:jc w:val="center"/>
              <w:rPr>
                <w:bCs/>
              </w:rPr>
            </w:pPr>
            <w:r w:rsidRPr="00790ED1">
              <w:rPr>
                <w:bCs/>
              </w:rPr>
              <w:t>Democracy Sessions</w:t>
            </w:r>
          </w:p>
          <w:p w14:paraId="14D93E42" w14:textId="77777777" w:rsidR="0057762F" w:rsidRDefault="0057762F" w:rsidP="0057762F">
            <w:pPr>
              <w:jc w:val="center"/>
              <w:rPr>
                <w:bCs/>
              </w:rPr>
            </w:pPr>
          </w:p>
          <w:p w14:paraId="51F1E758" w14:textId="128A2D50" w:rsidR="0057762F" w:rsidRPr="00790ED1" w:rsidRDefault="0057762F" w:rsidP="0057762F">
            <w:pPr>
              <w:jc w:val="center"/>
              <w:rPr>
                <w:bCs/>
              </w:rPr>
            </w:pPr>
            <w:r>
              <w:rPr>
                <w:noProof/>
              </w:rPr>
              <w:drawing>
                <wp:inline distT="0" distB="0" distL="0" distR="0" wp14:anchorId="59F9124E" wp14:editId="272BDE3D">
                  <wp:extent cx="514350" cy="56752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7325" cy="570806"/>
                          </a:xfrm>
                          <a:prstGeom prst="rect">
                            <a:avLst/>
                          </a:prstGeom>
                        </pic:spPr>
                      </pic:pic>
                    </a:graphicData>
                  </a:graphic>
                </wp:inline>
              </w:drawing>
            </w:r>
          </w:p>
          <w:p w14:paraId="1FD209F9" w14:textId="77777777" w:rsidR="0057762F" w:rsidRDefault="0057762F" w:rsidP="0057762F">
            <w:pPr>
              <w:jc w:val="center"/>
              <w:rPr>
                <w:rFonts w:cstheme="minorHAnsi"/>
                <w:sz w:val="24"/>
                <w:szCs w:val="24"/>
              </w:rPr>
            </w:pPr>
          </w:p>
        </w:tc>
        <w:tc>
          <w:tcPr>
            <w:tcW w:w="5670" w:type="dxa"/>
          </w:tcPr>
          <w:p w14:paraId="57D547DD" w14:textId="77777777" w:rsidR="0057762F" w:rsidRPr="00F9147A" w:rsidRDefault="0057762F" w:rsidP="0057762F">
            <w:r w:rsidRPr="00F9147A">
              <w:t xml:space="preserve">The Voice, Influence and Change Team offer 60-minute democracy sessions which can be delivered within the school setting at any point during the school year. The sessions focus on local democracy and introducing young people to voting. </w:t>
            </w:r>
          </w:p>
          <w:p w14:paraId="2C32D45C" w14:textId="77777777" w:rsidR="0057762F" w:rsidRPr="00F707A2" w:rsidRDefault="0057762F" w:rsidP="0057762F"/>
        </w:tc>
        <w:tc>
          <w:tcPr>
            <w:tcW w:w="2977" w:type="dxa"/>
          </w:tcPr>
          <w:p w14:paraId="3509968E" w14:textId="77777777" w:rsidR="0057762F" w:rsidRDefault="0057762F" w:rsidP="0057762F">
            <w:pPr>
              <w:rPr>
                <w:rFonts w:cstheme="minorHAnsi"/>
                <w:sz w:val="24"/>
                <w:szCs w:val="24"/>
              </w:rPr>
            </w:pPr>
            <w:r>
              <w:rPr>
                <w:rFonts w:cstheme="minorHAnsi"/>
                <w:sz w:val="24"/>
                <w:szCs w:val="24"/>
              </w:rPr>
              <w:t>All year round</w:t>
            </w:r>
          </w:p>
        </w:tc>
        <w:tc>
          <w:tcPr>
            <w:tcW w:w="4394" w:type="dxa"/>
          </w:tcPr>
          <w:p w14:paraId="4BE183DA" w14:textId="77777777" w:rsidR="0057762F" w:rsidRDefault="0057762F" w:rsidP="0057762F">
            <w:pPr>
              <w:rPr>
                <w:rFonts w:cstheme="minorHAnsi"/>
                <w:sz w:val="24"/>
                <w:szCs w:val="24"/>
              </w:rPr>
            </w:pPr>
            <w:r>
              <w:rPr>
                <w:rFonts w:cstheme="minorHAnsi"/>
                <w:sz w:val="24"/>
                <w:szCs w:val="24"/>
              </w:rPr>
              <w:t xml:space="preserve">To request a Democracy Session delivered in your school email </w:t>
            </w:r>
            <w:hyperlink r:id="rId23" w:history="1">
              <w:r w:rsidRPr="007479FF">
                <w:rPr>
                  <w:rStyle w:val="Hyperlink"/>
                  <w:rFonts w:cstheme="minorHAnsi"/>
                  <w:sz w:val="24"/>
                  <w:szCs w:val="24"/>
                </w:rPr>
                <w:t>VIC@leeds.gov.uk</w:t>
              </w:r>
            </w:hyperlink>
            <w:r>
              <w:rPr>
                <w:rFonts w:cstheme="minorHAnsi"/>
                <w:sz w:val="24"/>
                <w:szCs w:val="24"/>
              </w:rPr>
              <w:t xml:space="preserve"> </w:t>
            </w:r>
          </w:p>
        </w:tc>
      </w:tr>
    </w:tbl>
    <w:p w14:paraId="3FB5901A" w14:textId="77777777" w:rsidR="0057762F" w:rsidRDefault="0057762F"/>
    <w:p w14:paraId="196C9207" w14:textId="404D9E75" w:rsidR="00F97F64" w:rsidRPr="00F97F64" w:rsidRDefault="00F97F64" w:rsidP="00F97F64">
      <w:pPr>
        <w:jc w:val="center"/>
        <w:rPr>
          <w:b/>
          <w:bCs/>
        </w:rPr>
      </w:pPr>
      <w:r>
        <w:rPr>
          <w:b/>
          <w:bCs/>
        </w:rPr>
        <w:t xml:space="preserve">For more information about our SEND youth voice programmes in schools visit the </w:t>
      </w:r>
      <w:hyperlink r:id="rId24" w:history="1">
        <w:r w:rsidRPr="00F97F64">
          <w:rPr>
            <w:rStyle w:val="Hyperlink"/>
            <w:b/>
            <w:bCs/>
          </w:rPr>
          <w:t>Leeds Local Offer website</w:t>
        </w:r>
      </w:hyperlink>
      <w:r>
        <w:rPr>
          <w:b/>
          <w:bCs/>
        </w:rPr>
        <w:t xml:space="preserve"> or email </w:t>
      </w:r>
      <w:hyperlink r:id="rId25" w:history="1">
        <w:r w:rsidRPr="008A56C6">
          <w:rPr>
            <w:rStyle w:val="Hyperlink"/>
            <w:b/>
            <w:bCs/>
          </w:rPr>
          <w:t>VIC@leeds.gov.uk</w:t>
        </w:r>
      </w:hyperlink>
      <w:r>
        <w:rPr>
          <w:b/>
          <w:bCs/>
        </w:rPr>
        <w:t xml:space="preserve"> </w:t>
      </w:r>
    </w:p>
    <w:sectPr w:rsidR="00F97F64" w:rsidRPr="00F97F64" w:rsidSect="0057762F">
      <w:headerReference w:type="default" r:id="rId26"/>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6032" w14:textId="77777777" w:rsidR="0057762F" w:rsidRDefault="0057762F" w:rsidP="0057762F">
      <w:pPr>
        <w:spacing w:after="0" w:line="240" w:lineRule="auto"/>
      </w:pPr>
      <w:r>
        <w:separator/>
      </w:r>
    </w:p>
  </w:endnote>
  <w:endnote w:type="continuationSeparator" w:id="0">
    <w:p w14:paraId="69CCDF90" w14:textId="77777777" w:rsidR="0057762F" w:rsidRDefault="0057762F" w:rsidP="0057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2728" w14:textId="77777777" w:rsidR="0057762F" w:rsidRDefault="0057762F" w:rsidP="0057762F">
      <w:pPr>
        <w:spacing w:after="0" w:line="240" w:lineRule="auto"/>
      </w:pPr>
      <w:r>
        <w:separator/>
      </w:r>
    </w:p>
  </w:footnote>
  <w:footnote w:type="continuationSeparator" w:id="0">
    <w:p w14:paraId="7AADCBC0" w14:textId="77777777" w:rsidR="0057762F" w:rsidRDefault="0057762F" w:rsidP="00577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6967" w14:textId="04B0C882" w:rsidR="0057762F" w:rsidRDefault="0057762F">
    <w:pPr>
      <w:pStyle w:val="Header"/>
    </w:pPr>
    <w:r>
      <w:rPr>
        <w:noProof/>
      </w:rPr>
      <w:drawing>
        <wp:anchor distT="0" distB="0" distL="114300" distR="114300" simplePos="0" relativeHeight="251659264" behindDoc="0" locked="0" layoutInCell="1" allowOverlap="1" wp14:anchorId="0D08DF19" wp14:editId="0EA3E89F">
          <wp:simplePos x="0" y="0"/>
          <wp:positionH relativeFrom="column">
            <wp:posOffset>8448675</wp:posOffset>
          </wp:positionH>
          <wp:positionV relativeFrom="paragraph">
            <wp:posOffset>-276860</wp:posOffset>
          </wp:positionV>
          <wp:extent cx="990600" cy="74747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474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2F"/>
    <w:rsid w:val="0057762F"/>
    <w:rsid w:val="00613CF5"/>
    <w:rsid w:val="00644914"/>
    <w:rsid w:val="0069590D"/>
    <w:rsid w:val="00E00EE5"/>
    <w:rsid w:val="00F17364"/>
    <w:rsid w:val="00F97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E8AE9"/>
  <w15:chartTrackingRefBased/>
  <w15:docId w15:val="{AC85EAEE-2A56-41D5-A7CF-09C65142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62F"/>
    <w:rPr>
      <w:color w:val="0563C1" w:themeColor="hyperlink"/>
      <w:u w:val="single"/>
    </w:rPr>
  </w:style>
  <w:style w:type="paragraph" w:styleId="Header">
    <w:name w:val="header"/>
    <w:basedOn w:val="Normal"/>
    <w:link w:val="HeaderChar"/>
    <w:uiPriority w:val="99"/>
    <w:unhideWhenUsed/>
    <w:rsid w:val="00577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62F"/>
  </w:style>
  <w:style w:type="paragraph" w:styleId="Footer">
    <w:name w:val="footer"/>
    <w:basedOn w:val="Normal"/>
    <w:link w:val="FooterChar"/>
    <w:uiPriority w:val="99"/>
    <w:unhideWhenUsed/>
    <w:rsid w:val="00577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62F"/>
  </w:style>
  <w:style w:type="character" w:styleId="UnresolvedMention">
    <w:name w:val="Unresolved Mention"/>
    <w:basedOn w:val="DefaultParagraphFont"/>
    <w:uiPriority w:val="99"/>
    <w:semiHidden/>
    <w:unhideWhenUsed/>
    <w:rsid w:val="00F9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edslocaloffer.org.uk/have-your-say/voice-and-influence-specialist-settings" TargetMode="External"/><Relationship Id="rId18" Type="http://schemas.openxmlformats.org/officeDocument/2006/relationships/hyperlink" Target="https://www.leedslocaloffer.org.uk/have-your-say/voice-and-influence-specialist-setting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edslocaloffer.org.uk/have-your-say/voice-and-influence-specialist-settings" TargetMode="External"/><Relationship Id="rId7" Type="http://schemas.openxmlformats.org/officeDocument/2006/relationships/footnotes" Target="footnotes.xml"/><Relationship Id="rId12" Type="http://schemas.openxmlformats.org/officeDocument/2006/relationships/hyperlink" Target="mailto:VIC@leeds.gov.uk" TargetMode="External"/><Relationship Id="rId17" Type="http://schemas.openxmlformats.org/officeDocument/2006/relationships/hyperlink" Target="mailto:VIC@leeds.gov.uk" TargetMode="External"/><Relationship Id="rId25" Type="http://schemas.openxmlformats.org/officeDocument/2006/relationships/hyperlink" Target="mailto:VIC@leeds.gov.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VIC@leeds.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leedslocaloffer.org.uk/have-your-say/voice-and-influence-specialist-settings" TargetMode="External"/><Relationship Id="rId5" Type="http://schemas.openxmlformats.org/officeDocument/2006/relationships/settings" Target="settings.xml"/><Relationship Id="rId15" Type="http://schemas.openxmlformats.org/officeDocument/2006/relationships/hyperlink" Target="mailto:VIC@leeds.gov.uk" TargetMode="External"/><Relationship Id="rId23" Type="http://schemas.openxmlformats.org/officeDocument/2006/relationships/hyperlink" Target="mailto:VIC@leeds.gov.uk" TargetMode="External"/><Relationship Id="rId28" Type="http://schemas.openxmlformats.org/officeDocument/2006/relationships/theme" Target="theme/theme1.xml"/><Relationship Id="rId10" Type="http://schemas.openxmlformats.org/officeDocument/2006/relationships/hyperlink" Target="https://www.leedslocaloffer.org.uk/have-your-say/children-and-young-people/leeds-send-youth-council"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17240-55AF-421E-AD8B-9E11CE45F8FA}">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2.xml><?xml version="1.0" encoding="utf-8"?>
<ds:datastoreItem xmlns:ds="http://schemas.openxmlformats.org/officeDocument/2006/customXml" ds:itemID="{A2C40BE8-90D2-4F0D-B382-93D97906B2CE}">
  <ds:schemaRefs>
    <ds:schemaRef ds:uri="http://schemas.microsoft.com/sharepoint/v3/contenttype/forms"/>
  </ds:schemaRefs>
</ds:datastoreItem>
</file>

<file path=customXml/itemProps3.xml><?xml version="1.0" encoding="utf-8"?>
<ds:datastoreItem xmlns:ds="http://schemas.openxmlformats.org/officeDocument/2006/customXml" ds:itemID="{A7327F89-BBDC-432F-B113-1964DE1B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4</cp:revision>
  <dcterms:created xsi:type="dcterms:W3CDTF">2024-04-10T09:00:00Z</dcterms:created>
  <dcterms:modified xsi:type="dcterms:W3CDTF">2024-05-23T09:43:00Z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